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49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420" w:right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bookmarkStart w:id="0" w:name="OLE_LINK4"/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ICS</w:t>
      </w:r>
    </w:p>
    <w:bookmarkEnd w:id="0"/>
    <w:p w14:paraId="1B3F2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624" w:rightChars="0"/>
        <w:jc w:val="right"/>
        <w:textAlignment w:val="auto"/>
        <w:rPr>
          <w:rFonts w:hint="default" w:ascii="Times New Roman" w:hAnsi="Times New Roman" w:eastAsia="宋体" w:cs="Times New Roman"/>
          <w:b/>
          <w:bCs/>
          <w:sz w:val="96"/>
          <w:szCs w:val="9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96"/>
          <w:szCs w:val="96"/>
          <w:lang w:val="en-US" w:eastAsia="zh-CN"/>
        </w:rPr>
        <w:t>Q/ART</w:t>
      </w:r>
    </w:p>
    <w:p w14:paraId="3B6C805B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3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850" w:lineRule="exact"/>
        <w:ind w:right="0" w:rightChars="0"/>
        <w:jc w:val="right"/>
        <w:textAlignment w:val="auto"/>
        <w:rPr>
          <w:rFonts w:hint="eastAsia" w:ascii="黑体" w:hAnsi="黑体" w:eastAsia="黑体" w:cs="黑体"/>
          <w:b w:val="0"/>
          <w:bCs w:val="0"/>
          <w:sz w:val="48"/>
          <w:szCs w:val="48"/>
          <w:u w:val="none"/>
          <w:lang w:val="en-US" w:eastAsia="zh-CN"/>
        </w:rPr>
      </w:pPr>
      <w:bookmarkStart w:id="1" w:name="OLE_LINK1"/>
      <w:r>
        <w:rPr>
          <w:rFonts w:hint="eastAsia" w:ascii="黑体" w:hAnsi="黑体" w:eastAsia="黑体" w:cs="黑体"/>
          <w:b w:val="0"/>
          <w:bCs w:val="0"/>
          <w:spacing w:val="14"/>
          <w:kern w:val="0"/>
          <w:sz w:val="48"/>
          <w:szCs w:val="48"/>
          <w:u w:val="none"/>
          <w:fitText w:val="9638" w:id="1966290726"/>
          <w:lang w:val="en-US" w:eastAsia="zh-CN"/>
        </w:rPr>
        <w:t>通化安睿特生物制药股份有限公司</w:t>
      </w:r>
      <w:bookmarkEnd w:id="1"/>
      <w:r>
        <w:rPr>
          <w:rFonts w:hint="eastAsia" w:ascii="黑体" w:hAnsi="黑体" w:eastAsia="黑体" w:cs="黑体"/>
          <w:b w:val="0"/>
          <w:bCs w:val="0"/>
          <w:spacing w:val="14"/>
          <w:kern w:val="0"/>
          <w:sz w:val="48"/>
          <w:szCs w:val="48"/>
          <w:u w:val="none"/>
          <w:fitText w:val="9638" w:id="1966290726"/>
          <w:lang w:val="en-US" w:eastAsia="zh-CN"/>
        </w:rPr>
        <w:t>企业标</w:t>
      </w:r>
      <w:r>
        <w:rPr>
          <w:rFonts w:hint="eastAsia" w:ascii="黑体" w:hAnsi="黑体" w:eastAsia="黑体" w:cs="黑体"/>
          <w:b w:val="0"/>
          <w:bCs w:val="0"/>
          <w:spacing w:val="7"/>
          <w:kern w:val="0"/>
          <w:sz w:val="48"/>
          <w:szCs w:val="48"/>
          <w:u w:val="none"/>
          <w:fitText w:val="9638" w:id="1966290726"/>
          <w:lang w:val="en-US" w:eastAsia="zh-CN"/>
        </w:rPr>
        <w:t>准</w:t>
      </w:r>
    </w:p>
    <w:p w14:paraId="2F5ECCD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10" w:lineRule="exact"/>
        <w:ind w:right="283" w:rightChars="0"/>
        <w:jc w:val="right"/>
        <w:textAlignment w:val="auto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Q/ART 003-2024</w:t>
      </w:r>
    </w:p>
    <w:p w14:paraId="11E26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65" w:line="240" w:lineRule="auto"/>
        <w:ind w:right="283" w:rightChars="0"/>
        <w:jc w:val="center"/>
        <w:textAlignment w:val="auto"/>
        <w:rPr>
          <w:rFonts w:hint="default" w:ascii="黑体" w:hAnsi="黑体" w:eastAsia="黑体" w:cs="黑体"/>
          <w:b w:val="0"/>
          <w:bCs w:val="0"/>
          <w:sz w:val="52"/>
          <w:szCs w:val="52"/>
          <w:lang w:val="en-US" w:eastAsia="zh-CN"/>
        </w:rPr>
      </w:pPr>
      <w:bookmarkStart w:id="2" w:name="OLE_LINK6"/>
      <w:r>
        <w:rPr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450850</wp:posOffset>
                </wp:positionV>
                <wp:extent cx="6120130" cy="9525"/>
                <wp:effectExtent l="0" t="6350" r="13970" b="127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18210" y="1544320"/>
                          <a:ext cx="612013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05pt;margin-top:35.5pt;height:0.75pt;width:481.9pt;z-index:251659264;mso-width-relative:page;mso-height-relative:page;" filled="f" stroked="t" coordsize="21600,21600" o:gfxdata="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CHC5N1QAAAAcBAAAPAAAAAAAAAAEAIAAAACIAAABkcnMvZG93bnJldi54bWxQSwEC&#10;FAAUAAAACACHTuJA/kJDePcBAADKAwAADgAAAAAAAAABACAAAAAkAQAAZHJzL2Uyb0RvYy54bWxQ&#10;SwUGAAAAAAYABgBZAQAAjQ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sz w:val="52"/>
          <w:szCs w:val="52"/>
          <w:lang w:val="en-US" w:eastAsia="zh-CN"/>
        </w:rPr>
        <w:t>重组人转铁蛋白</w:t>
      </w:r>
      <w:bookmarkEnd w:id="2"/>
      <w:r>
        <w:rPr>
          <w:rFonts w:hint="eastAsia" w:ascii="黑体" w:hAnsi="黑体" w:eastAsia="黑体" w:cs="黑体"/>
          <w:b w:val="0"/>
          <w:bCs w:val="0"/>
          <w:sz w:val="52"/>
          <w:szCs w:val="52"/>
          <w:lang w:val="en-US" w:eastAsia="zh-CN"/>
        </w:rPr>
        <w:t>（脱铁）</w:t>
      </w:r>
    </w:p>
    <w:p w14:paraId="11CE4F66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EED531B">
      <w:pPr>
        <w:bidi w:val="0"/>
        <w:rPr>
          <w:rFonts w:hint="default"/>
          <w:lang w:val="en-US" w:eastAsia="zh-CN"/>
        </w:rPr>
      </w:pPr>
    </w:p>
    <w:p w14:paraId="7091AB75">
      <w:pPr>
        <w:bidi w:val="0"/>
        <w:rPr>
          <w:rFonts w:hint="default"/>
          <w:lang w:val="en-US" w:eastAsia="zh-CN"/>
        </w:rPr>
      </w:pPr>
    </w:p>
    <w:p w14:paraId="61020608">
      <w:pPr>
        <w:bidi w:val="0"/>
        <w:rPr>
          <w:rFonts w:hint="default"/>
          <w:lang w:val="en-US" w:eastAsia="zh-CN"/>
        </w:rPr>
      </w:pPr>
    </w:p>
    <w:p w14:paraId="2A06C6EE">
      <w:pPr>
        <w:bidi w:val="0"/>
        <w:rPr>
          <w:rFonts w:hint="default"/>
          <w:lang w:val="en-US" w:eastAsia="zh-CN"/>
        </w:rPr>
      </w:pPr>
    </w:p>
    <w:p w14:paraId="7D2ADB06">
      <w:pPr>
        <w:bidi w:val="0"/>
        <w:rPr>
          <w:rFonts w:hint="default"/>
          <w:lang w:val="en-US" w:eastAsia="zh-CN"/>
        </w:rPr>
      </w:pPr>
    </w:p>
    <w:p w14:paraId="231914C1">
      <w:pPr>
        <w:bidi w:val="0"/>
        <w:rPr>
          <w:rFonts w:hint="default"/>
          <w:lang w:val="en-US" w:eastAsia="zh-CN"/>
        </w:rPr>
      </w:pPr>
    </w:p>
    <w:p w14:paraId="22615048">
      <w:pPr>
        <w:bidi w:val="0"/>
        <w:rPr>
          <w:rFonts w:hint="default"/>
          <w:lang w:val="en-US" w:eastAsia="zh-CN"/>
        </w:rPr>
      </w:pPr>
    </w:p>
    <w:p w14:paraId="430A059D">
      <w:pPr>
        <w:bidi w:val="0"/>
        <w:rPr>
          <w:rFonts w:hint="default"/>
          <w:lang w:val="en-US" w:eastAsia="zh-CN"/>
        </w:rPr>
      </w:pPr>
    </w:p>
    <w:p w14:paraId="4941780A">
      <w:pPr>
        <w:bidi w:val="0"/>
        <w:rPr>
          <w:rFonts w:hint="default"/>
          <w:lang w:val="en-US" w:eastAsia="zh-CN"/>
        </w:rPr>
      </w:pPr>
    </w:p>
    <w:p w14:paraId="7A93013F">
      <w:pPr>
        <w:bidi w:val="0"/>
        <w:rPr>
          <w:rFonts w:hint="default"/>
          <w:lang w:val="en-US" w:eastAsia="zh-CN"/>
        </w:rPr>
      </w:pPr>
    </w:p>
    <w:p w14:paraId="68A6B46D">
      <w:pPr>
        <w:bidi w:val="0"/>
        <w:rPr>
          <w:rFonts w:hint="default"/>
          <w:lang w:val="en-US" w:eastAsia="zh-CN"/>
        </w:rPr>
      </w:pPr>
    </w:p>
    <w:p w14:paraId="6F93AD4D">
      <w:pPr>
        <w:bidi w:val="0"/>
        <w:rPr>
          <w:rFonts w:hint="default"/>
          <w:lang w:val="en-US" w:eastAsia="zh-CN"/>
        </w:rPr>
      </w:pPr>
    </w:p>
    <w:p w14:paraId="60DC33AA">
      <w:pPr>
        <w:bidi w:val="0"/>
        <w:rPr>
          <w:rFonts w:hint="default"/>
          <w:lang w:val="en-US" w:eastAsia="zh-CN"/>
        </w:rPr>
      </w:pPr>
    </w:p>
    <w:p w14:paraId="4C4A1C80">
      <w:pPr>
        <w:bidi w:val="0"/>
        <w:rPr>
          <w:rFonts w:hint="default"/>
          <w:lang w:val="en-US" w:eastAsia="zh-CN"/>
        </w:rPr>
      </w:pPr>
    </w:p>
    <w:p w14:paraId="59E01640">
      <w:pPr>
        <w:bidi w:val="0"/>
        <w:rPr>
          <w:rFonts w:hint="default"/>
          <w:lang w:val="en-US" w:eastAsia="zh-CN"/>
        </w:rPr>
      </w:pPr>
    </w:p>
    <w:p w14:paraId="35E8CBEA">
      <w:pPr>
        <w:bidi w:val="0"/>
        <w:rPr>
          <w:rFonts w:hint="default"/>
          <w:lang w:val="en-US" w:eastAsia="zh-CN"/>
        </w:rPr>
      </w:pPr>
    </w:p>
    <w:p w14:paraId="329B6C46">
      <w:pPr>
        <w:bidi w:val="0"/>
        <w:rPr>
          <w:rFonts w:hint="default"/>
          <w:lang w:val="en-US" w:eastAsia="zh-CN"/>
        </w:rPr>
      </w:pPr>
    </w:p>
    <w:p w14:paraId="4D8E1011">
      <w:pPr>
        <w:bidi w:val="0"/>
        <w:rPr>
          <w:rFonts w:hint="default"/>
          <w:lang w:val="en-US" w:eastAsia="zh-CN"/>
        </w:rPr>
      </w:pPr>
    </w:p>
    <w:p w14:paraId="4FB50938">
      <w:pPr>
        <w:bidi w:val="0"/>
        <w:rPr>
          <w:rFonts w:hint="default"/>
          <w:lang w:val="en-US" w:eastAsia="zh-CN"/>
        </w:rPr>
      </w:pPr>
    </w:p>
    <w:p w14:paraId="26311A52">
      <w:pPr>
        <w:bidi w:val="0"/>
        <w:rPr>
          <w:rFonts w:hint="default"/>
          <w:lang w:val="en-US" w:eastAsia="zh-CN"/>
        </w:rPr>
      </w:pPr>
    </w:p>
    <w:p w14:paraId="2A2464F5">
      <w:pPr>
        <w:numPr>
          <w:ilvl w:val="0"/>
          <w:numId w:val="0"/>
        </w:numPr>
        <w:bidi w:val="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307975</wp:posOffset>
                </wp:positionV>
                <wp:extent cx="6120130" cy="9525"/>
                <wp:effectExtent l="0" t="6350" r="13970" b="127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013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05pt;margin-top:24.25pt;height:0.75pt;width:481.9pt;z-index:251660288;mso-width-relative:page;mso-height-relative:page;" filled="f" stroked="t" coordsize="21600,21600" o:gfxdata="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N0DDh&#10;1QAAAAcBAAAPAAAAAAAAAAEAIAAAACIAAABkcnMvZG93bnJldi54bWxQSwECFAAUAAAACACHTuJA&#10;GbMwvusBAAC/AwAADgAAAAAAAAABACAAAAAkAQAAZHJzL2Uyb0RvYy54bWxQSwUGAAAAAAYABgBZ&#10;AQAAgQ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2024-xx-xx发布                                        2024-xx-xx实施</w:t>
      </w:r>
    </w:p>
    <w:p w14:paraId="65BD90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850"/>
        <w:jc w:val="center"/>
        <w:textAlignment w:val="auto"/>
        <w:rPr>
          <w:rFonts w:hint="eastAsia" w:ascii="黑体" w:hAnsi="黑体" w:eastAsia="黑体" w:cs="黑体"/>
          <w:spacing w:val="170"/>
          <w:sz w:val="28"/>
          <w:szCs w:val="28"/>
          <w:lang w:val="en-US" w:eastAsia="zh-CN"/>
        </w:rPr>
        <w:sectPr>
          <w:headerReference r:id="rId3" w:type="default"/>
          <w:headerReference r:id="rId4" w:type="even"/>
          <w:footerReference r:id="rId5" w:type="even"/>
          <w:pgSz w:w="11906" w:h="16838"/>
          <w:pgMar w:top="567" w:right="850" w:bottom="1134" w:left="1417" w:header="1134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titlePg/>
          <w:rtlGutter w:val="0"/>
          <w:docGrid w:type="lines" w:linePitch="312" w:charSpace="0"/>
        </w:sect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通化安睿特生物制药股份有限公</w:t>
      </w:r>
      <w:r>
        <w:rPr>
          <w:rFonts w:hint="eastAsia" w:ascii="黑体" w:hAnsi="黑体" w:eastAsia="黑体" w:cs="黑体"/>
          <w:spacing w:val="0"/>
          <w:sz w:val="36"/>
          <w:szCs w:val="36"/>
          <w:lang w:val="en-US" w:eastAsia="zh-CN"/>
        </w:rPr>
        <w:t xml:space="preserve">司  </w:t>
      </w:r>
      <w:r>
        <w:rPr>
          <w:rFonts w:hint="eastAsia" w:ascii="黑体" w:hAnsi="黑体" w:eastAsia="黑体" w:cs="黑体"/>
          <w:spacing w:val="0"/>
          <w:sz w:val="28"/>
          <w:szCs w:val="28"/>
          <w:lang w:val="en-US" w:eastAsia="zh-CN"/>
        </w:rPr>
        <w:t xml:space="preserve">发 </w:t>
      </w:r>
      <w:r>
        <w:rPr>
          <w:rFonts w:hint="eastAsia" w:ascii="黑体" w:hAnsi="黑体" w:eastAsia="黑体" w:cs="黑体"/>
          <w:spacing w:val="170"/>
          <w:sz w:val="28"/>
          <w:szCs w:val="28"/>
          <w:lang w:val="en-US" w:eastAsia="zh-CN"/>
        </w:rPr>
        <w:t>布</w:t>
      </w:r>
    </w:p>
    <w:p w14:paraId="48D21B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850"/>
        <w:jc w:val="center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前  言</w:t>
      </w:r>
    </w:p>
    <w:p w14:paraId="1F63E2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680"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本标准按照GB/T 1.1-2020《标准化工作导则 第1部分：标准化文件的结构和起草规则》的规定起草。</w:t>
      </w:r>
    </w:p>
    <w:p w14:paraId="0B0021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本标准由通化安睿特生物制药股份有限公司提出。</w:t>
      </w:r>
    </w:p>
    <w:p w14:paraId="4FA028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本标准起草单位：通化安睿特生物制药股份有限公司。</w:t>
      </w:r>
    </w:p>
    <w:p w14:paraId="07445A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sectPr>
          <w:headerReference r:id="rId6" w:type="first"/>
          <w:footerReference r:id="rId9" w:type="first"/>
          <w:footerReference r:id="rId7" w:type="default"/>
          <w:footerReference r:id="rId8" w:type="even"/>
          <w:pgSz w:w="11906" w:h="16838"/>
          <w:pgMar w:top="1417" w:right="1134" w:bottom="1134" w:left="1417" w:header="1417" w:footer="82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0" w:num="1"/>
          <w:titlePg/>
          <w:rtlGutter w:val="0"/>
          <w:docGrid w:type="lines" w:linePitch="317" w:charSpace="0"/>
        </w:sectPr>
      </w:pP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本标准主要起草人</w:t>
      </w:r>
      <w:r>
        <w:rPr>
          <w:rFonts w:hint="eastAsia" w:ascii="宋体" w:hAnsi="宋体" w:eastAsia="宋体" w:cs="宋体"/>
          <w:color w:val="auto"/>
          <w:spacing w:val="0"/>
          <w:sz w:val="21"/>
          <w:szCs w:val="21"/>
          <w:lang w:val="en-US" w:eastAsia="zh-CN"/>
        </w:rPr>
        <w:t>：</w:t>
      </w:r>
    </w:p>
    <w:p w14:paraId="704B48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850"/>
        <w:jc w:val="center"/>
        <w:textAlignment w:val="auto"/>
        <w:rPr>
          <w:rFonts w:hint="default" w:ascii="Times New Roman" w:hAnsi="Times New Roman" w:eastAsia="宋体" w:cs="Times New Roman"/>
          <w:b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pacing w:val="0"/>
          <w:sz w:val="32"/>
          <w:szCs w:val="32"/>
          <w:lang w:val="en-US" w:eastAsia="zh-CN"/>
        </w:rPr>
        <w:t>重组</w:t>
      </w:r>
      <w:r>
        <w:rPr>
          <w:rFonts w:hint="eastAsia" w:ascii="Times New Roman" w:hAnsi="Times New Roman" w:eastAsia="宋体" w:cs="Times New Roman"/>
          <w:b/>
          <w:bCs/>
          <w:spacing w:val="0"/>
          <w:sz w:val="32"/>
          <w:szCs w:val="32"/>
          <w:lang w:val="en-US" w:eastAsia="zh-CN"/>
        </w:rPr>
        <w:t>人转铁蛋白（脱铁）</w:t>
      </w:r>
    </w:p>
    <w:p w14:paraId="3BD750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60" w:beforeLines="50" w:after="160" w:afterLines="50" w:line="360" w:lineRule="auto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  <w:t>1 范围</w:t>
      </w:r>
    </w:p>
    <w:p w14:paraId="1FC452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本标准规定了重组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人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转铁蛋白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（脱铁）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的技术要求、试验方法、检验规则、标志、包装、运输和贮存。</w:t>
      </w:r>
    </w:p>
    <w:p w14:paraId="22F12C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本标准适用于本公司重组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人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转铁蛋白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（脱铁）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产品。</w:t>
      </w:r>
    </w:p>
    <w:p w14:paraId="3526B1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60" w:beforeLines="50" w:after="160" w:afterLines="50" w:line="360" w:lineRule="auto"/>
        <w:ind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  <w:t>2 规范性引用文件</w:t>
      </w:r>
    </w:p>
    <w:p w14:paraId="463AD0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下列文件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对于本文件的应用是必不可少的。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其中，注日期的引用文件，仅该日期对应的版本适用于本文件；不注日期的引用文件，其最新版本（包括所有的修改单）适用于本文件。</w:t>
      </w:r>
    </w:p>
    <w:p w14:paraId="613018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GB/T 191 包装储运图示标志</w:t>
      </w:r>
    </w:p>
    <w:p w14:paraId="24DE90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JJF 1070 定量包装商品净含量计量检验规则</w:t>
      </w:r>
    </w:p>
    <w:p w14:paraId="61FE9C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国家市场监督管理总局令[2023]第70号 《定量包装商品计量监督管理办法》</w:t>
      </w:r>
    </w:p>
    <w:p w14:paraId="23ABE7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《中国药典》2020版</w:t>
      </w:r>
    </w:p>
    <w:p w14:paraId="6B42CB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60" w:beforeLines="50" w:after="160" w:afterLines="50" w:line="360" w:lineRule="auto"/>
        <w:ind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  <w:t>3 术语和定义</w:t>
      </w:r>
    </w:p>
    <w:p w14:paraId="79B414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本标准没有需要界定的术语和定义。</w:t>
      </w:r>
    </w:p>
    <w:p w14:paraId="3BC972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60" w:beforeLines="50" w:after="160" w:afterLines="50" w:line="360" w:lineRule="auto"/>
        <w:ind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  <w:t>4 产品规格</w:t>
      </w:r>
    </w:p>
    <w:p w14:paraId="2E63CF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本产品为冻干粉，包装规格为：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vertAlign w:val="baseline"/>
          <w:lang w:val="en-US" w:eastAsia="zh-CN"/>
        </w:rPr>
        <w:t>1 g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vertAlign w:val="baseline"/>
          <w:lang w:val="en-US" w:eastAsia="zh-CN"/>
        </w:rPr>
        <w:t>/瓶、10 g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vertAlign w:val="baseline"/>
          <w:lang w:val="en-US" w:eastAsia="zh-CN"/>
        </w:rPr>
        <w:t>/瓶，或依照客户需求定制。</w:t>
      </w:r>
    </w:p>
    <w:p w14:paraId="3EAF15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60" w:beforeLines="50" w:after="160" w:afterLines="50" w:line="360" w:lineRule="auto"/>
        <w:ind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  <w:t xml:space="preserve">5 技术要求 </w:t>
      </w:r>
    </w:p>
    <w:p w14:paraId="482170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5.1 外观</w:t>
      </w:r>
    </w:p>
    <w:p w14:paraId="04703C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外观应符合如下要求：</w:t>
      </w:r>
    </w:p>
    <w:p w14:paraId="4CC68EA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外包装应完整无破损；</w:t>
      </w:r>
    </w:p>
    <w:p w14:paraId="2C3318C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产品应为类白色疏松体或粉末。</w:t>
      </w:r>
    </w:p>
    <w:p w14:paraId="5200A5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</w:pPr>
      <w:bookmarkStart w:id="3" w:name="OLE_LINK2"/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5.2 净含量</w:t>
      </w:r>
    </w:p>
    <w:p w14:paraId="0746E6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净含量应符合国家市场监督管理总局令（2023）第70号《定量包装商品计量监督管理办法》第八条、第九条的要求。</w:t>
      </w:r>
    </w:p>
    <w:bookmarkEnd w:id="3"/>
    <w:p w14:paraId="250564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5</w:t>
      </w: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>.</w:t>
      </w: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3</w:t>
      </w: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 xml:space="preserve"> 质量指标</w:t>
      </w:r>
    </w:p>
    <w:p w14:paraId="444FFF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产品的质量指标应符合表1规定。</w:t>
      </w:r>
    </w:p>
    <w:p w14:paraId="419E7C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5.4 稳定性</w:t>
      </w:r>
    </w:p>
    <w:p w14:paraId="241297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产品在说明书规定条件下贮存至有效期后，产品质量应符合5. 1- 5.3的规定。</w:t>
      </w:r>
    </w:p>
    <w:p w14:paraId="612875E9">
      <w:pP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br w:type="page"/>
      </w:r>
    </w:p>
    <w:p w14:paraId="5B55F4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center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表1 重组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人转铁蛋白（脱铁）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质量指标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3190"/>
        <w:gridCol w:w="3191"/>
      </w:tblGrid>
      <w:tr w14:paraId="422DF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2" w:type="dxa"/>
            <w:vAlign w:val="center"/>
          </w:tcPr>
          <w:p w14:paraId="063F7E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190" w:type="dxa"/>
            <w:vAlign w:val="center"/>
          </w:tcPr>
          <w:p w14:paraId="5B1261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3191" w:type="dxa"/>
            <w:vAlign w:val="center"/>
          </w:tcPr>
          <w:p w14:paraId="2C5D6C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标准规定</w:t>
            </w:r>
          </w:p>
        </w:tc>
      </w:tr>
      <w:tr w14:paraId="7FE64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2" w:type="dxa"/>
            <w:vAlign w:val="center"/>
          </w:tcPr>
          <w:p w14:paraId="3F321B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90" w:type="dxa"/>
            <w:vAlign w:val="center"/>
          </w:tcPr>
          <w:p w14:paraId="5F6AD5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鉴别试验</w:t>
            </w:r>
          </w:p>
        </w:tc>
        <w:tc>
          <w:tcPr>
            <w:tcW w:w="3191" w:type="dxa"/>
            <w:vAlign w:val="center"/>
          </w:tcPr>
          <w:p w14:paraId="40194D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应为阳性</w:t>
            </w:r>
          </w:p>
        </w:tc>
      </w:tr>
      <w:tr w14:paraId="4E5AA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2" w:type="dxa"/>
            <w:vAlign w:val="center"/>
          </w:tcPr>
          <w:p w14:paraId="2018FD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190" w:type="dxa"/>
            <w:vAlign w:val="center"/>
          </w:tcPr>
          <w:p w14:paraId="3F4D3A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pH值</w:t>
            </w:r>
          </w:p>
        </w:tc>
        <w:tc>
          <w:tcPr>
            <w:tcW w:w="3191" w:type="dxa"/>
            <w:vAlign w:val="center"/>
          </w:tcPr>
          <w:p w14:paraId="44EB91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5.0 - 7.0</w:t>
            </w:r>
          </w:p>
        </w:tc>
      </w:tr>
      <w:tr w14:paraId="7E34D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2" w:type="dxa"/>
            <w:vAlign w:val="center"/>
          </w:tcPr>
          <w:p w14:paraId="43332C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190" w:type="dxa"/>
            <w:vAlign w:val="center"/>
          </w:tcPr>
          <w:p w14:paraId="34AE2E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蛋白质含量</w:t>
            </w:r>
          </w:p>
        </w:tc>
        <w:tc>
          <w:tcPr>
            <w:tcW w:w="3191" w:type="dxa"/>
            <w:vAlign w:val="center"/>
          </w:tcPr>
          <w:p w14:paraId="4B2884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95.0% - 105.0%</w:t>
            </w:r>
          </w:p>
        </w:tc>
      </w:tr>
      <w:tr w14:paraId="25833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2" w:type="dxa"/>
            <w:vAlign w:val="center"/>
          </w:tcPr>
          <w:p w14:paraId="146203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190" w:type="dxa"/>
            <w:vAlign w:val="center"/>
          </w:tcPr>
          <w:p w14:paraId="5FB757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纯度</w:t>
            </w:r>
          </w:p>
        </w:tc>
        <w:tc>
          <w:tcPr>
            <w:tcW w:w="3191" w:type="dxa"/>
            <w:vAlign w:val="center"/>
          </w:tcPr>
          <w:p w14:paraId="3A2091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≥ 9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%</w:t>
            </w:r>
          </w:p>
        </w:tc>
      </w:tr>
      <w:tr w14:paraId="0781D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2" w:type="dxa"/>
            <w:vAlign w:val="center"/>
          </w:tcPr>
          <w:p w14:paraId="28C370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190" w:type="dxa"/>
            <w:vAlign w:val="center"/>
          </w:tcPr>
          <w:p w14:paraId="4A1801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细菌内毒素检查</w:t>
            </w:r>
          </w:p>
        </w:tc>
        <w:tc>
          <w:tcPr>
            <w:tcW w:w="3191" w:type="dxa"/>
            <w:vAlign w:val="center"/>
          </w:tcPr>
          <w:p w14:paraId="0D309B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&lt;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0.5 EU/mg</w:t>
            </w:r>
          </w:p>
        </w:tc>
      </w:tr>
    </w:tbl>
    <w:p w14:paraId="74D44F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60" w:beforeLines="50" w:after="160" w:afterLines="50" w:line="360" w:lineRule="auto"/>
        <w:ind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  <w:t>6 试验方法</w:t>
      </w:r>
    </w:p>
    <w:p w14:paraId="5F1625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除外观、净含量、干燥失重测定外，应按标示量加入灭菌纯净水（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40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 xml:space="preserve"> mg/mL），复溶后进行其余各项检定。</w:t>
      </w:r>
    </w:p>
    <w:p w14:paraId="6210E5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6.1 外观</w:t>
      </w:r>
    </w:p>
    <w:p w14:paraId="0F54D5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将产品恢复至室温，在自然光线下以正常视力或矫正视力目视检查，结果应符合5.1的要求。</w:t>
      </w:r>
    </w:p>
    <w:p w14:paraId="5B816A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  <w:t>6.2 净含量</w:t>
      </w:r>
    </w:p>
    <w:p w14:paraId="671F32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按照JJF 1070规定的方法进行测定，结果应符合5.2的要求。</w:t>
      </w:r>
    </w:p>
    <w:p w14:paraId="7561AB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>6.</w:t>
      </w: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3</w:t>
      </w: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 xml:space="preserve"> 鉴别试验</w:t>
      </w:r>
    </w:p>
    <w:p w14:paraId="34A04A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按照《中国药典》2020版通则3401—免疫印迹法进行检测，结果应符合5.3的要求。</w:t>
      </w:r>
    </w:p>
    <w:p w14:paraId="0AC0B8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>6.</w:t>
      </w: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4</w:t>
      </w: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 xml:space="preserve"> pH值</w:t>
      </w:r>
    </w:p>
    <w:p w14:paraId="78419B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用灭菌纯净水将供试品蛋白质含量稀释成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0 mg/mL，按照《中国药典》2020版通则0631—pH值测定法进行检测，结果应符合5.3的要求。</w:t>
      </w:r>
    </w:p>
    <w:p w14:paraId="1D5202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>6.5 蛋白质含量</w:t>
      </w:r>
    </w:p>
    <w:p w14:paraId="41E7EA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按照《中国药典》2020版通则0731—蛋白质含量测定法进行检测，结果应符合5.3的要求。</w:t>
      </w:r>
    </w:p>
    <w:p w14:paraId="2A27D3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>6.</w:t>
      </w: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6</w:t>
      </w: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 xml:space="preserve"> 纯度</w:t>
      </w:r>
    </w:p>
    <w:p w14:paraId="02CEF6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按照《中国药典》2020版通则0541—</w:t>
      </w:r>
      <w:bookmarkStart w:id="4" w:name="OLE_LINK3"/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电泳法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进行检测，</w:t>
      </w:r>
      <w:bookmarkEnd w:id="4"/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结果应符合5.3的要求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。</w:t>
      </w:r>
    </w:p>
    <w:p w14:paraId="231159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>6.</w:t>
      </w: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7</w:t>
      </w: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 xml:space="preserve"> 细菌内毒素检查</w:t>
      </w:r>
    </w:p>
    <w:p w14:paraId="61D97C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按照《中国药典》2020版通则1143—细菌内毒素检查法进行检测，结果应符合5.3的要求。</w:t>
      </w:r>
    </w:p>
    <w:p w14:paraId="380404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6.8 稳定性</w:t>
      </w:r>
    </w:p>
    <w:p w14:paraId="042DF7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在说明书规定条件下贮存至有效期后，按照6.1 - 6.7进行检验，结果应符合5.1 - 5.3的要求。</w:t>
      </w:r>
    </w:p>
    <w:p w14:paraId="776E43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60" w:beforeLines="50" w:after="160" w:afterLines="50" w:line="360" w:lineRule="auto"/>
        <w:ind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  <w:t>7 检验规则</w:t>
      </w:r>
    </w:p>
    <w:p w14:paraId="51680C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60" w:beforeLines="50" w:after="160" w:afterLines="50" w:line="360" w:lineRule="auto"/>
        <w:ind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  <w:t>7 检验规则</w:t>
      </w:r>
    </w:p>
    <w:p w14:paraId="4EBDC3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>7.1</w:t>
      </w: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 xml:space="preserve"> 产品检验</w:t>
      </w:r>
    </w:p>
    <w:p w14:paraId="0DE68D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7.1.1</w:t>
      </w: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 xml:space="preserve"> 出厂检验</w:t>
      </w:r>
    </w:p>
    <w:p w14:paraId="0BF9B3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每批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产品由质检部门按本标准的规定检验合格并出具合格证后方可出厂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，出厂检验项目包括外观、鉴别试验、pH值、蛋白质含量、纯度、细菌内毒素检查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。</w:t>
      </w:r>
      <w:bookmarkStart w:id="7" w:name="_GoBack"/>
      <w:bookmarkEnd w:id="7"/>
    </w:p>
    <w:p w14:paraId="04C9CE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7.1.2 型式检验</w:t>
      </w:r>
    </w:p>
    <w:p w14:paraId="76234F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正常生产时每年至少应进行一次型式检验，检验项目包括技术要求中的所有指标项目，若遇以下情况之一亦须进行型式检验：</w:t>
      </w:r>
    </w:p>
    <w:p w14:paraId="6BFC1C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 xml:space="preserve">a) 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生产原料、配方、工艺或设备有重大变化时；</w:t>
      </w:r>
    </w:p>
    <w:p w14:paraId="23484D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b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 xml:space="preserve">) 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停产半年以上，重新恢复生产时；</w:t>
      </w:r>
    </w:p>
    <w:p w14:paraId="6189E2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)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 xml:space="preserve"> 出厂检验结果与上次型式检验结果有较大差异时；</w:t>
      </w:r>
      <w:bookmarkStart w:id="5" w:name="OLE_LINK9"/>
    </w:p>
    <w:p w14:paraId="3DA4AB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)</w:t>
      </w:r>
      <w:bookmarkEnd w:id="5"/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国家监督管理部门提出进行型式检验要求时。</w:t>
      </w:r>
    </w:p>
    <w:p w14:paraId="6B536E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>7.</w:t>
      </w: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2</w:t>
      </w: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 xml:space="preserve"> 取样规则</w:t>
      </w:r>
    </w:p>
    <w:p w14:paraId="6749B6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一个生产批为一个检验批，</w:t>
      </w:r>
      <w:bookmarkStart w:id="6" w:name="OLE_LINK10"/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样品按批随机抽取，每批样品抽取2份，一份为检验样品，为全检所需样品量；另一份为留样，为全检所需样品量的2倍。每批抽取不少于5个包装产品作检验样品。</w:t>
      </w:r>
      <w:bookmarkEnd w:id="6"/>
    </w:p>
    <w:p w14:paraId="1B3557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>7.</w:t>
      </w: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3</w:t>
      </w: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 xml:space="preserve"> 结果判定</w:t>
      </w:r>
    </w:p>
    <w:p w14:paraId="7BFA6B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经检验后，若所有检验项目合格，则判定该批产品合格；若有一项指标不符合本标准时，允许加倍抽样复检，若复检结果合格，则判为合格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；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否则判定该批产品不合格。</w:t>
      </w:r>
    </w:p>
    <w:p w14:paraId="6A1D8F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60" w:beforeLines="50" w:after="160" w:afterLines="50" w:line="360" w:lineRule="auto"/>
        <w:ind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  <w:t>8 标志、包装、运输、贮存</w:t>
      </w:r>
    </w:p>
    <w:p w14:paraId="066837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>8.1 标志、标签</w:t>
      </w:r>
    </w:p>
    <w:p w14:paraId="11C224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a) 产品包装储运图示应符合GB/T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 xml:space="preserve"> 191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的相关要求。</w:t>
      </w:r>
    </w:p>
    <w:p w14:paraId="18D361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b) 产品标志、标签应清晰、无脱色，应包含以下内容：</w:t>
      </w:r>
    </w:p>
    <w:p w14:paraId="670BFD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产品名称、净含量、生产厂家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及注册商标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、生产日期或批号、有效期、贮存条件。</w:t>
      </w:r>
    </w:p>
    <w:p w14:paraId="6AF2FE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>8.2 包装</w:t>
      </w:r>
    </w:p>
    <w:p w14:paraId="6DD216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a) 包装采用玻璃瓶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或塑料瓶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加盖密封。</w:t>
      </w:r>
    </w:p>
    <w:p w14:paraId="384362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b) 产品标签应贴正，标签内容与产品相符，文字内容无误。</w:t>
      </w:r>
    </w:p>
    <w:p w14:paraId="3C66F1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>8.3 运输</w:t>
      </w:r>
    </w:p>
    <w:p w14:paraId="407B65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采用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冰袋或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冷链运输，产品在运输过程中应轻装轻卸，避免碰撞、抛摔、倒置，避免日晒雨淋，严禁踩踏及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箱上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放置重物。</w:t>
      </w:r>
    </w:p>
    <w:p w14:paraId="431187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>8.4 贮存</w:t>
      </w:r>
    </w:p>
    <w:p w14:paraId="79B8FF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2-8℃避光密闭贮存，防潮干燥，有效期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个月。</w:t>
      </w:r>
    </w:p>
    <w:sectPr>
      <w:footerReference r:id="rId10" w:type="default"/>
      <w:footerReference r:id="rId11" w:type="even"/>
      <w:pgSz w:w="11906" w:h="16838"/>
      <w:pgMar w:top="1304" w:right="1134" w:bottom="1134" w:left="1417" w:header="1417" w:footer="82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6BE0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9496F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32FD2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32FD2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A300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3F7AA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3F7AA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3DFC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D99E3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D99E3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362B1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984D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7984D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7739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C1DF4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C1DF4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E19CA">
    <w:pPr>
      <w:keepNext w:val="0"/>
      <w:keepLines w:val="0"/>
      <w:pageBreakBefore w:val="0"/>
      <w:widowControl w:val="0"/>
      <w:numPr>
        <w:ilvl w:val="0"/>
        <w:numId w:val="0"/>
      </w:numPr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 w:val="0"/>
      <w:jc w:val="right"/>
      <w:textAlignment w:val="auto"/>
      <w:rPr>
        <w:rFonts w:hint="default" w:ascii="黑体" w:hAnsi="黑体" w:eastAsia="黑体" w:cs="黑体"/>
        <w:sz w:val="24"/>
        <w:szCs w:val="24"/>
        <w:lang w:val="en-US"/>
      </w:rPr>
    </w:pPr>
    <w:r>
      <w:rPr>
        <w:rFonts w:hint="eastAsia" w:ascii="黑体" w:hAnsi="黑体" w:eastAsia="黑体" w:cs="黑体"/>
        <w:spacing w:val="0"/>
        <w:sz w:val="24"/>
        <w:szCs w:val="24"/>
        <w:lang w:val="en-US" w:eastAsia="zh-CN"/>
      </w:rPr>
      <w:t>Q/ART 003-2024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25BB9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CB2ED">
    <w:pPr>
      <w:pStyle w:val="3"/>
      <w:pBdr>
        <w:bottom w:val="none" w:color="auto" w:sz="0" w:space="1"/>
      </w:pBdr>
      <w:jc w:val="right"/>
      <w:rPr>
        <w:rFonts w:hint="eastAsia" w:ascii="黑体" w:hAnsi="黑体" w:eastAsia="黑体" w:cs="黑体"/>
        <w:sz w:val="24"/>
        <w:szCs w:val="40"/>
        <w:lang w:val="en-US" w:eastAsia="zh-CN"/>
      </w:rPr>
    </w:pPr>
    <w:r>
      <w:rPr>
        <w:rFonts w:hint="eastAsia" w:ascii="黑体" w:hAnsi="黑体" w:eastAsia="黑体" w:cs="黑体"/>
        <w:sz w:val="24"/>
        <w:szCs w:val="40"/>
        <w:lang w:val="en-US" w:eastAsia="zh-CN"/>
      </w:rPr>
      <w:t>Q/ART 003-2024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3E16B8"/>
    <w:multiLevelType w:val="singleLevel"/>
    <w:tmpl w:val="103E16B8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hNDRkOWExYTI5ZjUxMWUwZjA5ODhjMDFkODE1ZDgifQ=="/>
  </w:docVars>
  <w:rsids>
    <w:rsidRoot w:val="066E5467"/>
    <w:rsid w:val="000605C4"/>
    <w:rsid w:val="007D6A53"/>
    <w:rsid w:val="01456EE8"/>
    <w:rsid w:val="01A2695E"/>
    <w:rsid w:val="0227053F"/>
    <w:rsid w:val="03136E06"/>
    <w:rsid w:val="066E5467"/>
    <w:rsid w:val="06876FAD"/>
    <w:rsid w:val="07A31495"/>
    <w:rsid w:val="0E71409B"/>
    <w:rsid w:val="10187911"/>
    <w:rsid w:val="16B17A67"/>
    <w:rsid w:val="1C5615C5"/>
    <w:rsid w:val="1D2B10A9"/>
    <w:rsid w:val="1F62499A"/>
    <w:rsid w:val="20187382"/>
    <w:rsid w:val="26BA245F"/>
    <w:rsid w:val="29B11398"/>
    <w:rsid w:val="2DDD1E55"/>
    <w:rsid w:val="2F145D67"/>
    <w:rsid w:val="2FA40B4D"/>
    <w:rsid w:val="37225683"/>
    <w:rsid w:val="387B08D7"/>
    <w:rsid w:val="39E76710"/>
    <w:rsid w:val="3B1F2B5E"/>
    <w:rsid w:val="422E1E5A"/>
    <w:rsid w:val="42A6240E"/>
    <w:rsid w:val="42C126BF"/>
    <w:rsid w:val="44D62643"/>
    <w:rsid w:val="47EA7AF7"/>
    <w:rsid w:val="487E5403"/>
    <w:rsid w:val="4C0E479B"/>
    <w:rsid w:val="501E2A33"/>
    <w:rsid w:val="50D2381E"/>
    <w:rsid w:val="513854F2"/>
    <w:rsid w:val="51D14480"/>
    <w:rsid w:val="540C6849"/>
    <w:rsid w:val="54D7298C"/>
    <w:rsid w:val="56055F0A"/>
    <w:rsid w:val="560E354A"/>
    <w:rsid w:val="57FF2F3B"/>
    <w:rsid w:val="5A526098"/>
    <w:rsid w:val="5B5E7AFC"/>
    <w:rsid w:val="5B673B2B"/>
    <w:rsid w:val="5C3575C0"/>
    <w:rsid w:val="659E3FE5"/>
    <w:rsid w:val="670A6088"/>
    <w:rsid w:val="67CF609E"/>
    <w:rsid w:val="6A5924D5"/>
    <w:rsid w:val="6BEA2B07"/>
    <w:rsid w:val="6BF22860"/>
    <w:rsid w:val="6CCB39D4"/>
    <w:rsid w:val="6F675D4D"/>
    <w:rsid w:val="70546850"/>
    <w:rsid w:val="72364136"/>
    <w:rsid w:val="74FD7504"/>
    <w:rsid w:val="757C0EE0"/>
    <w:rsid w:val="7EAF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1720</Words>
  <Characters>1966</Characters>
  <Lines>0</Lines>
  <Paragraphs>0</Paragraphs>
  <TotalTime>1</TotalTime>
  <ScaleCrop>false</ScaleCrop>
  <LinksUpToDate>false</LinksUpToDate>
  <CharactersWithSpaces>2082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2023-04-26T08:23:00Z</dcterms:created>
  <dc:creator>qzuser</dc:creator>
  <cp:lastModifiedBy>L</cp:lastModifiedBy>
  <cp:lastPrinted>2023-04-27T06:57:00Z</cp:lastPrinted>
  <dcterms:modified xsi:type="dcterms:W3CDTF">2024-12-19T05:00:45Z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550619D5F8AD4638AFDCB1B635BFCC36_13</vt:lpwstr>
  </property>
</Properties>
</file>